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34E8" w14:textId="77777777" w:rsidR="00DC19B4" w:rsidRDefault="00DC19B4"/>
    <w:p w14:paraId="65EE8BA2" w14:textId="2F33E384" w:rsidR="008750CB" w:rsidRDefault="008750CB" w:rsidP="008750CB">
      <w:pPr>
        <w:shd w:val="clear" w:color="auto" w:fill="FFFFFF"/>
        <w:spacing w:before="180"/>
        <w:outlineLvl w:val="2"/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</w:pPr>
      <w:bookmarkStart w:id="0" w:name="_GoBack"/>
      <w:r w:rsidRPr="008750CB"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 xml:space="preserve">Il Terzo problema di </w:t>
      </w:r>
      <w:proofErr w:type="spellStart"/>
      <w:r w:rsidRPr="008750CB"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 xml:space="preserve"> (</w:t>
      </w:r>
      <w:proofErr w:type="spellStart"/>
      <w:r w:rsidRPr="008750CB"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>equiscomponibilità</w:t>
      </w:r>
      <w:proofErr w:type="spellEnd"/>
      <w:r w:rsidRPr="008750CB"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 xml:space="preserve"> dei poliedri)</w:t>
      </w:r>
    </w:p>
    <w:p w14:paraId="74AC0A67" w14:textId="33E39702" w:rsidR="002A7066" w:rsidRPr="008750CB" w:rsidRDefault="002A7066" w:rsidP="008750CB">
      <w:pPr>
        <w:shd w:val="clear" w:color="auto" w:fill="FFFFFF"/>
        <w:spacing w:before="180"/>
        <w:outlineLvl w:val="2"/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</w:pPr>
      <w:r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 xml:space="preserve">Breve scheda di Franco </w:t>
      </w:r>
      <w:proofErr w:type="spellStart"/>
      <w:r>
        <w:rPr>
          <w:rFonts w:ascii="Georgia" w:eastAsia="Times New Roman" w:hAnsi="Georgia"/>
          <w:b/>
          <w:bCs/>
          <w:color w:val="444444"/>
          <w:sz w:val="33"/>
          <w:szCs w:val="33"/>
          <w:lang w:val="it-IT" w:eastAsia="it-IT"/>
        </w:rPr>
        <w:t>Eugeni</w:t>
      </w:r>
      <w:proofErr w:type="spellEnd"/>
    </w:p>
    <w:bookmarkEnd w:id="0"/>
    <w:p w14:paraId="0B6FC083" w14:textId="77777777" w:rsidR="009B742E" w:rsidRDefault="009B742E" w:rsidP="008750CB">
      <w:pPr>
        <w:shd w:val="clear" w:color="auto" w:fill="FFFFFF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</w:p>
    <w:p w14:paraId="59392254" w14:textId="77777777" w:rsidR="008750CB" w:rsidRPr="008750CB" w:rsidRDefault="008750CB" w:rsidP="008750CB">
      <w:pPr>
        <w:shd w:val="clear" w:color="auto" w:fill="FFFFFF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È noto sin dai tempi dei geometri greci che due poligoni piani di eguale area sono anche equiscomponibili, ossia è possibile decomporre uno di essi in un numero finito di poligoni che, ricomposti, formano l'altro. La dimostrazione è un po' macchinosa ma elementare, e si basa essenzialmente su tre fatti: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</w:p>
    <w:p w14:paraId="7FE6C7F4" w14:textId="77777777" w:rsidR="009B742E" w:rsidRPr="009B742E" w:rsidRDefault="008750CB" w:rsidP="009B742E">
      <w:pPr>
        <w:pStyle w:val="Paragrafoelenco"/>
        <w:numPr>
          <w:ilvl w:val="0"/>
          <w:numId w:val="1"/>
        </w:numPr>
        <w:shd w:val="clear" w:color="auto" w:fill="F6F6F6"/>
        <w:jc w:val="both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  <w:r w:rsidRP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ogni poligono si decompone in triangoli;</w:t>
      </w:r>
    </w:p>
    <w:p w14:paraId="5391DADE" w14:textId="77777777" w:rsidR="008750CB" w:rsidRPr="009B742E" w:rsidRDefault="008750CB" w:rsidP="009B742E">
      <w:pPr>
        <w:pStyle w:val="Paragrafoelenco"/>
        <w:numPr>
          <w:ilvl w:val="0"/>
          <w:numId w:val="1"/>
        </w:numPr>
        <w:shd w:val="clear" w:color="auto" w:fill="F6F6F6"/>
        <w:ind w:left="426" w:hanging="66"/>
        <w:jc w:val="both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  <w:r w:rsidRP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 un triangolo è equiscomponibile con un rettangolo avente stessa base e metà altezza;</w:t>
      </w:r>
      <w:r w:rsidRP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9B742E">
        <w:rPr>
          <w:rFonts w:ascii="MathJax_Main" w:eastAsia="Times New Roman" w:hAnsi="MathJax_Main"/>
          <w:color w:val="444444"/>
          <w:sz w:val="25"/>
          <w:szCs w:val="25"/>
          <w:bdr w:val="none" w:sz="0" w:space="0" w:color="auto" w:frame="1"/>
          <w:lang w:val="it-IT" w:eastAsia="it-IT"/>
        </w:rPr>
        <w:t>(3)</w:t>
      </w:r>
      <w:r w:rsidRP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 l'</w:t>
      </w:r>
      <w:proofErr w:type="spellStart"/>
      <w:r w:rsidRP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equiscomponibilità</w:t>
      </w:r>
      <w:proofErr w:type="spellEnd"/>
      <w:r w:rsidRP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è una relazione d'equivalenza.</w:t>
      </w:r>
    </w:p>
    <w:p w14:paraId="1D8660F9" w14:textId="77777777" w:rsidR="009B742E" w:rsidRDefault="009B742E" w:rsidP="008750CB">
      <w:pPr>
        <w:shd w:val="clear" w:color="auto" w:fill="FFFFFF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</w:p>
    <w:p w14:paraId="474300A1" w14:textId="77777777" w:rsidR="008750CB" w:rsidRPr="008750CB" w:rsidRDefault="008750CB" w:rsidP="008750CB">
      <w:pPr>
        <w:shd w:val="clear" w:color="auto" w:fill="FFFFFF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Durante la sua famosa conferenza al Congresso di Parigi (1900), D.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osservò che tutte le dimostrazioni note del fatto che il volume di una piramide è </w:t>
      </w:r>
      <w:r w:rsidRPr="008750CB">
        <w:rPr>
          <w:rFonts w:ascii="MathJax_Main" w:eastAsia="Times New Roman" w:hAnsi="MathJax_Main"/>
          <w:color w:val="444444"/>
          <w:sz w:val="26"/>
          <w:szCs w:val="26"/>
          <w:bdr w:val="none" w:sz="0" w:space="0" w:color="auto" w:frame="1"/>
          <w:lang w:val="it-IT" w:eastAsia="it-IT"/>
        </w:rPr>
        <w:t>1/3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 del volume di un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parallelepi</w:t>
      </w:r>
      <w:proofErr w:type="spellEnd"/>
      <w:r w:rsid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-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pedo con stessa base e stessa altezza si basano sul principio di Cavalieri o su qualche metodo equivalente (esaustione, calcolo integrale). Egli pose pertanto la seguente domanda, che figurava al terzo posto nella sua famosa lista di </w:t>
      </w:r>
      <w:r w:rsidRPr="008750CB">
        <w:rPr>
          <w:rFonts w:ascii="MathJax_Main" w:eastAsia="Times New Roman" w:hAnsi="MathJax_Main"/>
          <w:color w:val="444444"/>
          <w:sz w:val="26"/>
          <w:szCs w:val="26"/>
          <w:bdr w:val="none" w:sz="0" w:space="0" w:color="auto" w:frame="1"/>
          <w:lang w:val="it-IT" w:eastAsia="it-IT"/>
        </w:rPr>
        <w:t>23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 problemi irrisolti e divenne nota come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</w:p>
    <w:p w14:paraId="707C07F6" w14:textId="77777777" w:rsidR="008750CB" w:rsidRPr="008750CB" w:rsidRDefault="008750CB" w:rsidP="008750CB">
      <w:pPr>
        <w:shd w:val="clear" w:color="auto" w:fill="F6F6F6"/>
        <w:jc w:val="both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  <w:r w:rsidRPr="008750CB">
        <w:rPr>
          <w:rFonts w:ascii="Georgia" w:eastAsia="Times New Roman" w:hAnsi="Georgia"/>
          <w:b/>
          <w:bCs/>
          <w:color w:val="444444"/>
          <w:sz w:val="23"/>
          <w:szCs w:val="23"/>
          <w:lang w:val="it-IT" w:eastAsia="it-IT"/>
        </w:rPr>
        <w:t xml:space="preserve">Terzo Problema di </w:t>
      </w:r>
      <w:proofErr w:type="spellStart"/>
      <w:r w:rsidRPr="008750CB">
        <w:rPr>
          <w:rFonts w:ascii="Georgia" w:eastAsia="Times New Roman" w:hAnsi="Georgia"/>
          <w:b/>
          <w:bCs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. Dati un cubo e un tetraedro aventi lo stesso volume, è possibile decomporre uno di essi in un numero finito di poliedri che, ricomposti, formano l'altro?</w:t>
      </w:r>
    </w:p>
    <w:p w14:paraId="614A62A6" w14:textId="2E2A7E16" w:rsidR="008750CB" w:rsidRPr="008750CB" w:rsidRDefault="008750CB" w:rsidP="008750CB">
      <w:pPr>
        <w:shd w:val="clear" w:color="auto" w:fill="FFFFFF"/>
        <w:spacing w:after="240"/>
        <w:rPr>
          <w:rFonts w:ascii="Georgia" w:eastAsia="Times New Roman" w:hAnsi="Georgia"/>
          <w:color w:val="444444"/>
          <w:sz w:val="23"/>
          <w:szCs w:val="23"/>
          <w:lang w:val="it-IT" w:eastAsia="it-IT"/>
        </w:rPr>
      </w:pP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Dunque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chiedeva, sostanzialmente, se poliedri equivalenti fossero anche equiscomponibili, cioè se il risultato noto per i poligoni potesse essere esteso in dimensione </w:t>
      </w:r>
      <w:r w:rsidRPr="008750CB">
        <w:rPr>
          <w:rFonts w:ascii="MathJax_Main" w:eastAsia="Times New Roman" w:hAnsi="MathJax_Main"/>
          <w:color w:val="444444"/>
          <w:sz w:val="26"/>
          <w:szCs w:val="26"/>
          <w:bdr w:val="none" w:sz="0" w:space="0" w:color="auto" w:frame="1"/>
          <w:lang w:val="it-IT" w:eastAsia="it-IT"/>
        </w:rPr>
        <w:t>3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.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  <w:t xml:space="preserve">La risposta negativa arrivò quasi immediatamente (prima ancora che gli </w:t>
      </w:r>
      <w:r w:rsid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A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tti del </w:t>
      </w:r>
      <w:r w:rsid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C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ongresso di Parigi fossero stampati) ad opera di uno studente di dottorato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, destinato a diventare uno dei più importanti </w:t>
      </w:r>
      <w:r w:rsid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esperti di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topologi</w:t>
      </w:r>
      <w:r w:rsid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a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del '900</w:t>
      </w:r>
      <w:r w:rsid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. Si trattava di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 </w:t>
      </w:r>
      <w:hyperlink r:id="rId5" w:history="1">
        <w:proofErr w:type="gramStart"/>
        <w:r w:rsidRPr="0062218E">
          <w:rPr>
            <w:rFonts w:ascii="Georgia" w:eastAsia="Times New Roman" w:hAnsi="Georgia"/>
            <w:sz w:val="23"/>
            <w:szCs w:val="23"/>
            <w:lang w:val="it-IT" w:eastAsia="it-IT"/>
          </w:rPr>
          <w:t>M</w:t>
        </w:r>
        <w:r w:rsidR="0062218E" w:rsidRPr="0062218E">
          <w:rPr>
            <w:rFonts w:ascii="Georgia" w:eastAsia="Times New Roman" w:hAnsi="Georgia"/>
            <w:sz w:val="23"/>
            <w:szCs w:val="23"/>
            <w:lang w:val="it-IT" w:eastAsia="it-IT"/>
          </w:rPr>
          <w:t xml:space="preserve">ax </w:t>
        </w:r>
        <w:r w:rsidRPr="0062218E">
          <w:rPr>
            <w:rFonts w:ascii="Georgia" w:eastAsia="Times New Roman" w:hAnsi="Georgia"/>
            <w:sz w:val="23"/>
            <w:szCs w:val="23"/>
            <w:lang w:val="it-IT" w:eastAsia="it-IT"/>
          </w:rPr>
          <w:t xml:space="preserve"> </w:t>
        </w:r>
        <w:r w:rsidR="0062218E" w:rsidRPr="0062218E">
          <w:rPr>
            <w:rFonts w:ascii="Georgia" w:eastAsia="Times New Roman" w:hAnsi="Georgia"/>
            <w:sz w:val="23"/>
            <w:szCs w:val="23"/>
            <w:lang w:val="it-IT" w:eastAsia="it-IT"/>
          </w:rPr>
          <w:t>Wilhelm</w:t>
        </w:r>
        <w:proofErr w:type="gramEnd"/>
        <w:r w:rsidR="0062218E" w:rsidRPr="0062218E">
          <w:rPr>
            <w:rFonts w:ascii="Georgia" w:eastAsia="Times New Roman" w:hAnsi="Georgia"/>
            <w:sz w:val="23"/>
            <w:szCs w:val="23"/>
            <w:lang w:val="it-IT" w:eastAsia="it-IT"/>
          </w:rPr>
          <w:t xml:space="preserve"> </w:t>
        </w:r>
        <w:proofErr w:type="spellStart"/>
        <w:r w:rsidRPr="0062218E">
          <w:rPr>
            <w:rFonts w:ascii="Georgia" w:eastAsia="Times New Roman" w:hAnsi="Georgia"/>
            <w:sz w:val="23"/>
            <w:szCs w:val="23"/>
            <w:lang w:val="it-IT" w:eastAsia="it-IT"/>
          </w:rPr>
          <w:t>Dehn</w:t>
        </w:r>
        <w:proofErr w:type="spellEnd"/>
      </w:hyperlink>
      <w:r w:rsidR="0062218E" w:rsidRPr="0062218E">
        <w:rPr>
          <w:rFonts w:ascii="Georgia" w:eastAsia="Times New Roman" w:hAnsi="Georgia"/>
          <w:sz w:val="23"/>
          <w:szCs w:val="23"/>
          <w:lang w:val="it-IT" w:eastAsia="it-IT"/>
        </w:rPr>
        <w:t xml:space="preserve"> (1878-1952).</w: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t>.</w: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br/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br/>
        <w:t xml:space="preserve">La dimostrazione di </w:t>
      </w:r>
      <w:proofErr w:type="spellStart"/>
      <w:r w:rsidRPr="0062218E">
        <w:rPr>
          <w:rFonts w:ascii="Georgia" w:eastAsia="Times New Roman" w:hAnsi="Georgia"/>
          <w:sz w:val="23"/>
          <w:szCs w:val="23"/>
          <w:lang w:val="it-IT" w:eastAsia="it-IT"/>
        </w:rPr>
        <w:t>Dehn</w:t>
      </w:r>
      <w:proofErr w:type="spellEnd"/>
      <w:r w:rsidRPr="0062218E">
        <w:rPr>
          <w:rFonts w:ascii="Georgia" w:eastAsia="Times New Roman" w:hAnsi="Georgia"/>
          <w:sz w:val="23"/>
          <w:szCs w:val="23"/>
          <w:lang w:val="it-IT" w:eastAsia="it-IT"/>
        </w:rPr>
        <w:t xml:space="preserve"> era basata su un argomento molto i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ngegnoso, che può essere riassunto come segue. Se un poliedro viene tagliato in un numero finito di parti e ricomposto, il volume è chiaramente una quantità che si conserva, ossia un "invariante".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osservò che è possibile definire un'altra quantità che si conserva, una particolare combinazione di lunghezze di spigoli e valori di angoli diedri (misurati in radianti) che oggi si chiama in suo onore </w:t>
      </w:r>
      <w:hyperlink r:id="rId6" w:history="1">
        <w:r w:rsidRPr="008750CB">
          <w:rPr>
            <w:rFonts w:ascii="Georgia" w:eastAsia="Times New Roman" w:hAnsi="Georgia"/>
            <w:color w:val="CC6411"/>
            <w:sz w:val="23"/>
            <w:szCs w:val="23"/>
            <w:u w:val="single"/>
            <w:lang w:val="it-IT" w:eastAsia="it-IT"/>
          </w:rPr>
          <w:t>invariant</w:t>
        </w:r>
        <w:r w:rsidR="0062218E">
          <w:rPr>
            <w:rFonts w:ascii="Georgia" w:eastAsia="Times New Roman" w:hAnsi="Georgia"/>
            <w:color w:val="CC6411"/>
            <w:sz w:val="23"/>
            <w:szCs w:val="23"/>
            <w:u w:val="single"/>
            <w:lang w:val="it-IT" w:eastAsia="it-IT"/>
          </w:rPr>
          <w:t>i</w:t>
        </w:r>
        <w:r w:rsidRPr="008750CB">
          <w:rPr>
            <w:rFonts w:ascii="Georgia" w:eastAsia="Times New Roman" w:hAnsi="Georgia"/>
            <w:color w:val="CC6411"/>
            <w:sz w:val="23"/>
            <w:szCs w:val="23"/>
            <w:u w:val="single"/>
            <w:lang w:val="it-IT" w:eastAsia="it-IT"/>
          </w:rPr>
          <w:t xml:space="preserve"> di </w:t>
        </w:r>
        <w:proofErr w:type="spellStart"/>
        <w:r w:rsidRPr="008750CB">
          <w:rPr>
            <w:rFonts w:ascii="Georgia" w:eastAsia="Times New Roman" w:hAnsi="Georgia"/>
            <w:color w:val="CC6411"/>
            <w:sz w:val="23"/>
            <w:szCs w:val="23"/>
            <w:u w:val="single"/>
            <w:lang w:val="it-IT" w:eastAsia="it-IT"/>
          </w:rPr>
          <w:t>Dehn</w:t>
        </w:r>
        <w:proofErr w:type="spellEnd"/>
      </w:hyperlink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.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  <w:t xml:space="preserve">È facile vedere che ogni cubo ha invariante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pari a zero, mentre l'invariante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di un tetraedro regolare è non nullo. Pertanto, un cubo e un tetraedro di egual volume non possono mai essere equiscomponibili.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  <w:t xml:space="preserve">La dimostrazione originale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, pubblicata in </w:t>
      </w:r>
      <w:r w:rsidRPr="0062218E">
        <w:rPr>
          <w:rFonts w:ascii="Georgia" w:eastAsia="Times New Roman" w:hAnsi="Georgia"/>
          <w:bCs/>
          <w:color w:val="444444"/>
          <w:sz w:val="23"/>
          <w:szCs w:val="23"/>
          <w:lang w:val="it-IT" w:eastAsia="it-IT"/>
        </w:rPr>
        <w:t>[Dehn1901]</w:t>
      </w:r>
      <w:r w:rsidRP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,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venne poco dopo semplificata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, nel 1903,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d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al matematico ebreo russo Benjamin </w:t>
      </w:r>
      <w:proofErr w:type="spellStart"/>
      <w:proofErr w:type="gramStart"/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Fedorovich</w:t>
      </w:r>
      <w:proofErr w:type="spellEnd"/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Kagan</w:t>
      </w:r>
      <w:proofErr w:type="spellEnd"/>
      <w:proofErr w:type="gram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(1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869-1953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). La risposta definitiva al terzo problema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arrivò nel 1965,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quando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il</w:t>
      </w:r>
      <w:proofErr w:type="spellEnd"/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matematico ebreo </w:t>
      </w:r>
      <w:proofErr w:type="gramStart"/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svizzero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J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ean</w:t>
      </w:r>
      <w:proofErr w:type="gramEnd"/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P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ierre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Sydler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r w:rsidR="002A7066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(1921-1988)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dimostrò in </w:t>
      </w:r>
      <w:r w:rsidRPr="0062218E">
        <w:rPr>
          <w:rFonts w:ascii="Georgia" w:eastAsia="Times New Roman" w:hAnsi="Georgia"/>
          <w:bCs/>
          <w:color w:val="444444"/>
          <w:sz w:val="23"/>
          <w:szCs w:val="23"/>
          <w:lang w:val="it-IT" w:eastAsia="it-IT"/>
        </w:rPr>
        <w:t>[Syd65] </w:t>
      </w:r>
      <w:r w:rsidRPr="0062218E">
        <w:rPr>
          <w:rFonts w:ascii="Georgia" w:eastAsia="Times New Roman" w:hAnsi="Georgia"/>
          <w:b/>
          <w:i/>
          <w:color w:val="444444"/>
          <w:sz w:val="23"/>
          <w:szCs w:val="23"/>
          <w:lang w:val="it-IT" w:eastAsia="it-IT"/>
        </w:rPr>
        <w:t>che due poliedri in </w:t>
      </w:r>
      <w:r w:rsidRPr="0062218E">
        <w:rPr>
          <w:rFonts w:ascii="MathJax_AMS" w:eastAsia="Times New Roman" w:hAnsi="MathJax_AMS"/>
          <w:b/>
          <w:i/>
          <w:color w:val="444444"/>
          <w:sz w:val="26"/>
          <w:szCs w:val="26"/>
          <w:bdr w:val="none" w:sz="0" w:space="0" w:color="auto" w:frame="1"/>
          <w:lang w:val="it-IT" w:eastAsia="it-IT"/>
        </w:rPr>
        <w:t>R</w:t>
      </w:r>
      <w:r w:rsidRPr="0062218E">
        <w:rPr>
          <w:rFonts w:ascii="MathJax_Main" w:eastAsia="Times New Roman" w:hAnsi="MathJax_Main"/>
          <w:b/>
          <w:i/>
          <w:color w:val="444444"/>
          <w:sz w:val="18"/>
          <w:szCs w:val="18"/>
          <w:bdr w:val="none" w:sz="0" w:space="0" w:color="auto" w:frame="1"/>
          <w:lang w:val="it-IT" w:eastAsia="it-IT"/>
        </w:rPr>
        <w:t>3</w:t>
      </w:r>
      <w:r w:rsidRPr="0062218E">
        <w:rPr>
          <w:rFonts w:ascii="Georgia" w:eastAsia="Times New Roman" w:hAnsi="Georgia"/>
          <w:b/>
          <w:i/>
          <w:color w:val="444444"/>
          <w:sz w:val="23"/>
          <w:szCs w:val="23"/>
          <w:lang w:val="it-IT" w:eastAsia="it-IT"/>
        </w:rPr>
        <w:t xml:space="preserve"> sono equiscomponibili se e solo se hanno lo stesso volume e lo stesso invariante di </w:t>
      </w:r>
      <w:proofErr w:type="spellStart"/>
      <w:r w:rsidRPr="0062218E">
        <w:rPr>
          <w:rFonts w:ascii="Georgia" w:eastAsia="Times New Roman" w:hAnsi="Georgia"/>
          <w:b/>
          <w:i/>
          <w:color w:val="444444"/>
          <w:sz w:val="23"/>
          <w:szCs w:val="23"/>
          <w:lang w:val="it-IT" w:eastAsia="it-IT"/>
        </w:rPr>
        <w:t>Dehn</w:t>
      </w:r>
      <w:proofErr w:type="spellEnd"/>
      <w:r w:rsidRPr="0062218E">
        <w:rPr>
          <w:rFonts w:ascii="Georgia" w:eastAsia="Times New Roman" w:hAnsi="Georgia"/>
          <w:b/>
          <w:i/>
          <w:color w:val="444444"/>
          <w:sz w:val="23"/>
          <w:szCs w:val="23"/>
          <w:lang w:val="it-IT" w:eastAsia="it-IT"/>
        </w:rPr>
        <w:t>.</w:t>
      </w:r>
      <w:r w:rsidRPr="0062218E">
        <w:rPr>
          <w:rFonts w:ascii="Georgia" w:eastAsia="Times New Roman" w:hAnsi="Georgia"/>
          <w:b/>
          <w:i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2A7066">
        <w:rPr>
          <w:rFonts w:ascii="Georgia" w:eastAsia="Times New Roman" w:hAnsi="Georgia"/>
          <w:b/>
          <w:i/>
          <w:iCs/>
          <w:color w:val="444444"/>
          <w:sz w:val="23"/>
          <w:szCs w:val="23"/>
          <w:lang w:val="it-IT" w:eastAsia="it-IT"/>
        </w:rPr>
        <w:t>Nota biografica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. </w:t>
      </w:r>
      <w:proofErr w:type="gram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M</w:t>
      </w:r>
      <w:r w:rsidR="009B742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ax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proofErr w:type="gram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(1878-1952) ricevette il suo dottorato a Gottinga nel 1900, sotto la supervisione di D.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. Fra i suoi numerosi contributi in topologia, oltre alla risoluzione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lastRenderedPageBreak/>
        <w:t xml:space="preserve">del Terzo Problema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Hilbert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, possiamo annoverare la classificazione topologica delle superfici, la soluzione del problema della parola per i loro gruppi fondamentali e la costruzione del sistema di generatori per il loro Mapping Class Group oggi noto </w: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t>come </w:t>
      </w:r>
      <w:proofErr w:type="spellStart"/>
      <w:r w:rsidRPr="0062218E">
        <w:rPr>
          <w:rFonts w:ascii="Georgia" w:eastAsia="Times New Roman" w:hAnsi="Georgia"/>
          <w:sz w:val="23"/>
          <w:szCs w:val="23"/>
          <w:lang w:val="it-IT" w:eastAsia="it-IT"/>
        </w:rPr>
        <w:fldChar w:fldCharType="begin"/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instrText xml:space="preserve"> HYPERLINK "https://en.wikipedia.org/wiki/Dehn_twist" </w:instrTex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fldChar w:fldCharType="separate"/>
      </w:r>
      <w:r w:rsidRPr="0062218E">
        <w:rPr>
          <w:rFonts w:ascii="Georgia" w:eastAsia="Times New Roman" w:hAnsi="Georgia"/>
          <w:sz w:val="23"/>
          <w:szCs w:val="23"/>
          <w:u w:val="single"/>
          <w:lang w:val="it-IT" w:eastAsia="it-IT"/>
        </w:rPr>
        <w:t>Dehn</w:t>
      </w:r>
      <w:proofErr w:type="spellEnd"/>
      <w:r w:rsidRPr="0062218E">
        <w:rPr>
          <w:rFonts w:ascii="Georgia" w:eastAsia="Times New Roman" w:hAnsi="Georgia"/>
          <w:sz w:val="23"/>
          <w:szCs w:val="23"/>
          <w:u w:val="single"/>
          <w:lang w:val="it-IT" w:eastAsia="it-IT"/>
        </w:rPr>
        <w:t xml:space="preserve"> twists</w: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fldChar w:fldCharType="end"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. Egli introdusse quella che oggi è chiamata </w: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t>la </w:t>
      </w:r>
      <w:proofErr w:type="spellStart"/>
      <w:r w:rsidRPr="0062218E">
        <w:rPr>
          <w:rFonts w:ascii="Georgia" w:eastAsia="Times New Roman" w:hAnsi="Georgia"/>
          <w:sz w:val="23"/>
          <w:szCs w:val="23"/>
          <w:lang w:val="it-IT" w:eastAsia="it-IT"/>
        </w:rPr>
        <w:fldChar w:fldCharType="begin"/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instrText xml:space="preserve"> HYPERLINK "https://en.wikipedia.org/wiki/Dehn_surgery" </w:instrTex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fldChar w:fldCharType="separate"/>
      </w:r>
      <w:r w:rsidRPr="0062218E">
        <w:rPr>
          <w:rFonts w:ascii="Georgia" w:eastAsia="Times New Roman" w:hAnsi="Georgia"/>
          <w:sz w:val="23"/>
          <w:szCs w:val="23"/>
          <w:u w:val="single"/>
          <w:lang w:val="it-IT" w:eastAsia="it-IT"/>
        </w:rPr>
        <w:t>Dehn</w:t>
      </w:r>
      <w:proofErr w:type="spellEnd"/>
      <w:r w:rsidRPr="0062218E">
        <w:rPr>
          <w:rFonts w:ascii="Georgia" w:eastAsia="Times New Roman" w:hAnsi="Georgia"/>
          <w:sz w:val="23"/>
          <w:szCs w:val="23"/>
          <w:u w:val="single"/>
          <w:lang w:val="it-IT" w:eastAsia="it-IT"/>
        </w:rPr>
        <w:t xml:space="preserve"> surgery</w:t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fldChar w:fldCharType="end"/>
      </w:r>
      <w:r w:rsidRPr="0062218E">
        <w:rPr>
          <w:rFonts w:ascii="Georgia" w:eastAsia="Times New Roman" w:hAnsi="Georgia"/>
          <w:sz w:val="23"/>
          <w:szCs w:val="23"/>
          <w:lang w:val="it-IT" w:eastAsia="it-IT"/>
        </w:rPr>
        <w:t> 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per produrre nuovi esempi di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homology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spheres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oltre a quello di Poincaré, e fu il primo a dimostrare che il nodo a trifoglio destro non è equivalente a quello sinistro.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  <w:t xml:space="preserve">Nel 1935, dopo l'avvento al potere dei nazisti,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r w:rsidR="0062218E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, che era ebreo, 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dovette abbandonare il suo posto di professore a Francoforte e fuggire, prima in Norvegia, poi in Svezia e infine negli Stati Uniti, dove concluse la sua carriera come professore al Black Mountain College (North Carolina).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0"/>
      </w:tblGrid>
      <w:tr w:rsidR="008750CB" w:rsidRPr="008750CB" w14:paraId="7FA7C424" w14:textId="77777777" w:rsidTr="008750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B764ED" w14:textId="77777777" w:rsidR="008750CB" w:rsidRPr="008750CB" w:rsidRDefault="008750CB" w:rsidP="008750CB">
            <w:pPr>
              <w:jc w:val="center"/>
              <w:rPr>
                <w:rFonts w:eastAsia="Times New Roman"/>
                <w:color w:val="444444"/>
                <w:sz w:val="24"/>
                <w:szCs w:val="24"/>
                <w:lang w:val="it-IT" w:eastAsia="it-IT"/>
              </w:rPr>
            </w:pPr>
            <w:r>
              <w:rPr>
                <w:rFonts w:eastAsia="Times New Roman"/>
                <w:noProof/>
                <w:color w:val="CC6411"/>
                <w:sz w:val="24"/>
                <w:szCs w:val="24"/>
                <w:lang w:val="it-IT" w:eastAsia="it-IT"/>
              </w:rPr>
              <w:drawing>
                <wp:inline distT="0" distB="0" distL="0" distR="0" wp14:anchorId="5D0D3123" wp14:editId="5E22FF2E">
                  <wp:extent cx="1381125" cy="1905000"/>
                  <wp:effectExtent l="0" t="0" r="9525" b="0"/>
                  <wp:docPr id="1" name="Immagine 1" descr="https://blogger.googleusercontent.com/img/b/R29vZ2xl/AVvXsEiKnR3XbIYrvyAiprDjwvv5LrBmc9Ro_w9eSoiKn_mGZ0O_afBQa_Huem7alaowgplNUP6UcpJm_4tZPGzHbOM_MLbqLcrW7n0QIgdo2XXsMHGe4lOtHB8lFYTCqrW7JG9PuqDjMZQisWc/s200/Max_Deh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ger.googleusercontent.com/img/b/R29vZ2xl/AVvXsEiKnR3XbIYrvyAiprDjwvv5LrBmc9Ro_w9eSoiKn_mGZ0O_afBQa_Huem7alaowgplNUP6UcpJm_4tZPGzHbOM_MLbqLcrW7n0QIgdo2XXsMHGe4lOtHB8lFYTCqrW7JG9PuqDjMZQisWc/s200/Max_Deh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CB" w:rsidRPr="008750CB" w14:paraId="7DC9B58E" w14:textId="77777777" w:rsidTr="008750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1C9695" w14:textId="77777777" w:rsidR="008750CB" w:rsidRPr="008750CB" w:rsidRDefault="008750CB" w:rsidP="008750CB">
            <w:pPr>
              <w:jc w:val="center"/>
              <w:rPr>
                <w:rFonts w:eastAsia="Times New Roman"/>
                <w:color w:val="444444"/>
                <w:sz w:val="18"/>
                <w:szCs w:val="18"/>
                <w:lang w:val="it-IT" w:eastAsia="it-IT"/>
              </w:rPr>
            </w:pPr>
            <w:r w:rsidRPr="008750CB">
              <w:rPr>
                <w:rFonts w:eastAsia="Times New Roman"/>
                <w:color w:val="444444"/>
                <w:sz w:val="18"/>
                <w:szCs w:val="18"/>
                <w:lang w:val="it-IT" w:eastAsia="it-IT"/>
              </w:rPr>
              <w:t xml:space="preserve">M. </w:t>
            </w:r>
            <w:proofErr w:type="spellStart"/>
            <w:r w:rsidRPr="008750CB">
              <w:rPr>
                <w:rFonts w:eastAsia="Times New Roman"/>
                <w:color w:val="444444"/>
                <w:sz w:val="18"/>
                <w:szCs w:val="18"/>
                <w:lang w:val="it-IT" w:eastAsia="it-IT"/>
              </w:rPr>
              <w:t>Dehn</w:t>
            </w:r>
            <w:proofErr w:type="spellEnd"/>
            <w:r w:rsidRPr="008750CB">
              <w:rPr>
                <w:rFonts w:eastAsia="Times New Roman"/>
                <w:color w:val="444444"/>
                <w:sz w:val="18"/>
                <w:szCs w:val="18"/>
                <w:lang w:val="it-IT" w:eastAsia="it-IT"/>
              </w:rPr>
              <w:t xml:space="preserve"> (fonte: Wikipedia)</w:t>
            </w:r>
          </w:p>
        </w:tc>
      </w:tr>
    </w:tbl>
    <w:p w14:paraId="3E470A36" w14:textId="77777777" w:rsidR="008750CB" w:rsidRPr="009B742E" w:rsidRDefault="008750CB" w:rsidP="008750CB">
      <w:pPr>
        <w:shd w:val="clear" w:color="auto" w:fill="FFFFFF"/>
        <w:rPr>
          <w:rFonts w:ascii="Georgia" w:eastAsia="Times New Roman" w:hAnsi="Georgia"/>
          <w:sz w:val="23"/>
          <w:szCs w:val="23"/>
          <w:lang w:val="it-IT" w:eastAsia="it-IT"/>
        </w:rPr>
      </w:pP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b/>
          <w:bCs/>
          <w:color w:val="444444"/>
          <w:sz w:val="23"/>
          <w:szCs w:val="23"/>
          <w:lang w:val="it-IT" w:eastAsia="it-IT"/>
        </w:rPr>
        <w:t>Riferimenti: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br/>
      </w:r>
      <w:r w:rsidRPr="008750CB">
        <w:rPr>
          <w:rFonts w:ascii="Georgia" w:eastAsia="Times New Roman" w:hAnsi="Georgia"/>
          <w:b/>
          <w:bCs/>
          <w:color w:val="444444"/>
          <w:sz w:val="23"/>
          <w:szCs w:val="23"/>
          <w:lang w:val="it-IT" w:eastAsia="it-IT"/>
        </w:rPr>
        <w:t>[Dehn1901]</w:t>
      </w:r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 M.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Dehn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: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Ueber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den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Rauminhalt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,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Mathematische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</w:t>
      </w:r>
      <w:proofErr w:type="spell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Annalen</w:t>
      </w:r>
      <w:proofErr w:type="spell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 xml:space="preserve"> 55 (</w:t>
      </w:r>
      <w:proofErr w:type="gramStart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3)(</w:t>
      </w:r>
      <w:proofErr w:type="gramEnd"/>
      <w:r w:rsidRPr="008750CB">
        <w:rPr>
          <w:rFonts w:ascii="Georgia" w:eastAsia="Times New Roman" w:hAnsi="Georgia"/>
          <w:color w:val="444444"/>
          <w:sz w:val="23"/>
          <w:szCs w:val="23"/>
          <w:lang w:val="it-IT" w:eastAsia="it-IT"/>
        </w:rPr>
        <w:t>1901), 465–</w:t>
      </w:r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478. </w:t>
      </w:r>
      <w:hyperlink r:id="rId9" w:history="1">
        <w:proofErr w:type="gramStart"/>
        <w:r w:rsidRPr="009B742E">
          <w:rPr>
            <w:rFonts w:ascii="Georgia" w:eastAsia="Times New Roman" w:hAnsi="Georgia"/>
            <w:sz w:val="23"/>
            <w:szCs w:val="23"/>
            <w:u w:val="single"/>
            <w:lang w:val="it-IT" w:eastAsia="it-IT"/>
          </w:rPr>
          <w:t>doi:10.1007</w:t>
        </w:r>
        <w:proofErr w:type="gramEnd"/>
        <w:r w:rsidRPr="009B742E">
          <w:rPr>
            <w:rFonts w:ascii="Georgia" w:eastAsia="Times New Roman" w:hAnsi="Georgia"/>
            <w:sz w:val="23"/>
            <w:szCs w:val="23"/>
            <w:u w:val="single"/>
            <w:lang w:val="it-IT" w:eastAsia="it-IT"/>
          </w:rPr>
          <w:t>/BF01448001</w:t>
        </w:r>
      </w:hyperlink>
      <w:r w:rsidRPr="009B742E">
        <w:rPr>
          <w:rFonts w:ascii="Georgia" w:eastAsia="Times New Roman" w:hAnsi="Georgia"/>
          <w:sz w:val="23"/>
          <w:szCs w:val="23"/>
          <w:lang w:val="it-IT" w:eastAsia="it-IT"/>
        </w:rPr>
        <w:br/>
      </w:r>
      <w:r w:rsidRPr="009B742E">
        <w:rPr>
          <w:rFonts w:ascii="Georgia" w:eastAsia="Times New Roman" w:hAnsi="Georgia"/>
          <w:b/>
          <w:bCs/>
          <w:sz w:val="23"/>
          <w:szCs w:val="23"/>
          <w:lang w:val="it-IT" w:eastAsia="it-IT"/>
        </w:rPr>
        <w:t>[Syd65]</w:t>
      </w:r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 J-P.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Sydler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: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Conditions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nécessaires et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suffisantes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pour l'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équivalence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des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polyèdres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de l'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espace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euclidien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à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trois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</w:t>
      </w:r>
      <w:proofErr w:type="spellStart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dimension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, </w:t>
      </w:r>
      <w:proofErr w:type="spellStart"/>
      <w:r w:rsidRPr="009B742E">
        <w:rPr>
          <w:rFonts w:ascii="Georgia" w:eastAsia="Times New Roman" w:hAnsi="Georgia"/>
          <w:i/>
          <w:iCs/>
          <w:sz w:val="23"/>
          <w:szCs w:val="23"/>
          <w:lang w:val="it-IT" w:eastAsia="it-IT"/>
        </w:rPr>
        <w:t>Comment</w:t>
      </w:r>
      <w:proofErr w:type="spellEnd"/>
      <w:r w:rsidRPr="009B742E">
        <w:rPr>
          <w:rFonts w:ascii="Georgia" w:eastAsia="Times New Roman" w:hAnsi="Georgia"/>
          <w:i/>
          <w:iCs/>
          <w:sz w:val="23"/>
          <w:szCs w:val="23"/>
          <w:lang w:val="it-IT" w:eastAsia="it-IT"/>
        </w:rPr>
        <w:t xml:space="preserve">. Math. </w:t>
      </w:r>
      <w:proofErr w:type="spellStart"/>
      <w:r w:rsidRPr="009B742E">
        <w:rPr>
          <w:rFonts w:ascii="Georgia" w:eastAsia="Times New Roman" w:hAnsi="Georgia"/>
          <w:i/>
          <w:iCs/>
          <w:sz w:val="23"/>
          <w:szCs w:val="23"/>
          <w:lang w:val="it-IT" w:eastAsia="it-IT"/>
        </w:rPr>
        <w:t>Helv</w:t>
      </w:r>
      <w:proofErr w:type="spellEnd"/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. </w:t>
      </w:r>
      <w:r w:rsidRPr="009B742E">
        <w:rPr>
          <w:rFonts w:ascii="Georgia" w:eastAsia="Times New Roman" w:hAnsi="Georgia"/>
          <w:b/>
          <w:bCs/>
          <w:sz w:val="23"/>
          <w:szCs w:val="23"/>
          <w:lang w:val="it-IT" w:eastAsia="it-IT"/>
        </w:rPr>
        <w:t>40</w:t>
      </w:r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 (1965), 43–</w:t>
      </w:r>
      <w:r w:rsidR="009B742E">
        <w:rPr>
          <w:rFonts w:ascii="Georgia" w:eastAsia="Times New Roman" w:hAnsi="Georgia"/>
          <w:sz w:val="23"/>
          <w:szCs w:val="23"/>
          <w:lang w:val="it-IT" w:eastAsia="it-IT"/>
        </w:rPr>
        <w:t xml:space="preserve"> 80</w:t>
      </w:r>
      <w:r w:rsidRPr="009B742E">
        <w:rPr>
          <w:rFonts w:ascii="Georgia" w:eastAsia="Times New Roman" w:hAnsi="Georgia"/>
          <w:sz w:val="23"/>
          <w:szCs w:val="23"/>
          <w:lang w:val="it-IT" w:eastAsia="it-IT"/>
        </w:rPr>
        <w:t>. </w:t>
      </w:r>
      <w:hyperlink r:id="rId10" w:history="1">
        <w:proofErr w:type="gramStart"/>
        <w:r w:rsidRPr="009B742E">
          <w:rPr>
            <w:rFonts w:ascii="Georgia" w:eastAsia="Times New Roman" w:hAnsi="Georgia"/>
            <w:sz w:val="23"/>
            <w:szCs w:val="23"/>
            <w:u w:val="single"/>
            <w:lang w:val="it-IT" w:eastAsia="it-IT"/>
          </w:rPr>
          <w:t>doi:10.5169</w:t>
        </w:r>
        <w:proofErr w:type="gramEnd"/>
        <w:r w:rsidRPr="009B742E">
          <w:rPr>
            <w:rFonts w:ascii="Georgia" w:eastAsia="Times New Roman" w:hAnsi="Georgia"/>
            <w:sz w:val="23"/>
            <w:szCs w:val="23"/>
            <w:u w:val="single"/>
            <w:lang w:val="it-IT" w:eastAsia="it-IT"/>
          </w:rPr>
          <w:t>/seals-30629</w:t>
        </w:r>
      </w:hyperlink>
    </w:p>
    <w:p w14:paraId="465F9CBF" w14:textId="77777777" w:rsidR="008750CB" w:rsidRDefault="008750CB"/>
    <w:sectPr w:rsidR="00875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thJax_Mai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hJax_A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2884"/>
    <w:multiLevelType w:val="hybridMultilevel"/>
    <w:tmpl w:val="C638F018"/>
    <w:lvl w:ilvl="0" w:tplc="3D567C94">
      <w:start w:val="1"/>
      <w:numFmt w:val="decimal"/>
      <w:lvlText w:val="(%1)"/>
      <w:lvlJc w:val="left"/>
      <w:pPr>
        <w:ind w:left="735" w:hanging="375"/>
      </w:pPr>
      <w:rPr>
        <w:rFonts w:ascii="MathJax_Main" w:hAnsi="MathJax_Main"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0CB"/>
    <w:rsid w:val="002A7066"/>
    <w:rsid w:val="0062218E"/>
    <w:rsid w:val="008750CB"/>
    <w:rsid w:val="009A5EAD"/>
    <w:rsid w:val="009B742E"/>
    <w:rsid w:val="00D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15F9"/>
  <w15:docId w15:val="{17DBF443-806F-4C6A-A1C2-064E94C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EAD"/>
    <w:rPr>
      <w:rFonts w:ascii="Times New Roman" w:hAnsi="Times New Roman"/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8750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vista">
    <w:name w:val="Intestazione rivista"/>
    <w:basedOn w:val="Intestazione"/>
    <w:link w:val="IntestazionerivistaCarattere"/>
    <w:autoRedefine/>
    <w:qFormat/>
    <w:rsid w:val="009A5EAD"/>
    <w:pPr>
      <w:jc w:val="center"/>
    </w:pPr>
    <w:rPr>
      <w:rFonts w:eastAsia="Times New Roman"/>
      <w:i/>
      <w:sz w:val="16"/>
    </w:rPr>
  </w:style>
  <w:style w:type="character" w:customStyle="1" w:styleId="IntestazionerivistaCarattere">
    <w:name w:val="Intestazione rivista Carattere"/>
    <w:basedOn w:val="IntestazioneCarattere"/>
    <w:link w:val="Intestazionerivista"/>
    <w:rsid w:val="009A5EAD"/>
    <w:rPr>
      <w:rFonts w:ascii="Times New Roman" w:eastAsia="Times New Roman" w:hAnsi="Times New Roman"/>
      <w:i/>
      <w:sz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EAD"/>
  </w:style>
  <w:style w:type="paragraph" w:customStyle="1" w:styleId="Corpotesto1">
    <w:name w:val="Corpo testo1"/>
    <w:basedOn w:val="Normale"/>
    <w:link w:val="CorpotestoCarattere"/>
    <w:autoRedefine/>
    <w:qFormat/>
    <w:rsid w:val="009A5EAD"/>
    <w:pPr>
      <w:ind w:firstLine="425"/>
      <w:jc w:val="both"/>
    </w:pPr>
    <w:rPr>
      <w:rFonts w:ascii="Book Antiqua" w:eastAsia="Times New Roman" w:hAnsi="Book Antiqu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1"/>
    <w:rsid w:val="009A5EAD"/>
    <w:rPr>
      <w:rFonts w:ascii="Book Antiqua" w:eastAsia="Times New Roman" w:hAnsi="Book Antiqua"/>
      <w:sz w:val="24"/>
      <w:szCs w:val="24"/>
    </w:rPr>
  </w:style>
  <w:style w:type="paragraph" w:customStyle="1" w:styleId="Titoloarticolo">
    <w:name w:val="Titolo articolo"/>
    <w:basedOn w:val="Normale"/>
    <w:link w:val="TitoloarticoloCarattere"/>
    <w:qFormat/>
    <w:rsid w:val="009A5EAD"/>
    <w:pPr>
      <w:jc w:val="center"/>
    </w:pPr>
    <w:rPr>
      <w:rFonts w:ascii="Book Antiqua" w:eastAsia="Times New Roman" w:hAnsi="Book Antiqua"/>
      <w:b/>
      <w:bCs/>
      <w:i/>
      <w:iCs/>
      <w:sz w:val="40"/>
      <w:szCs w:val="40"/>
      <w:lang w:val="it-IT"/>
    </w:rPr>
  </w:style>
  <w:style w:type="character" w:customStyle="1" w:styleId="TitoloarticoloCarattere">
    <w:name w:val="Titolo articolo Carattere"/>
    <w:basedOn w:val="Carpredefinitoparagrafo"/>
    <w:link w:val="Titoloarticolo"/>
    <w:rsid w:val="009A5EAD"/>
    <w:rPr>
      <w:rFonts w:ascii="Book Antiqua" w:eastAsia="Times New Roman" w:hAnsi="Book Antiqua"/>
      <w:b/>
      <w:bCs/>
      <w:i/>
      <w:iCs/>
      <w:sz w:val="40"/>
      <w:szCs w:val="40"/>
    </w:rPr>
  </w:style>
  <w:style w:type="paragraph" w:customStyle="1" w:styleId="Autore">
    <w:name w:val="Autore"/>
    <w:basedOn w:val="Normale"/>
    <w:link w:val="AutoreCarattere"/>
    <w:qFormat/>
    <w:rsid w:val="009A5EAD"/>
    <w:pPr>
      <w:jc w:val="center"/>
    </w:pPr>
    <w:rPr>
      <w:rFonts w:ascii="Book Antiqua" w:eastAsia="Times New Roman" w:hAnsi="Book Antiqua"/>
      <w:sz w:val="28"/>
      <w:szCs w:val="28"/>
      <w:lang w:val="it-IT"/>
    </w:rPr>
  </w:style>
  <w:style w:type="character" w:customStyle="1" w:styleId="AutoreCarattere">
    <w:name w:val="Autore Carattere"/>
    <w:basedOn w:val="Carpredefinitoparagrafo"/>
    <w:link w:val="Autore"/>
    <w:rsid w:val="009A5EAD"/>
    <w:rPr>
      <w:rFonts w:ascii="Book Antiqua" w:eastAsia="Times New Roman" w:hAnsi="Book Antiqua"/>
      <w:sz w:val="28"/>
      <w:szCs w:val="28"/>
    </w:rPr>
  </w:style>
  <w:style w:type="paragraph" w:customStyle="1" w:styleId="Sunto">
    <w:name w:val="Sunto"/>
    <w:basedOn w:val="Normale"/>
    <w:link w:val="SuntoCarattere"/>
    <w:qFormat/>
    <w:rsid w:val="009A5EAD"/>
    <w:pPr>
      <w:autoSpaceDE w:val="0"/>
      <w:autoSpaceDN w:val="0"/>
      <w:adjustRightInd w:val="0"/>
      <w:jc w:val="both"/>
    </w:pPr>
    <w:rPr>
      <w:rFonts w:ascii="Book Antiqua" w:eastAsia="Times New Roman" w:hAnsi="Book Antiqua" w:cs="Book Antiqua"/>
      <w:iCs/>
      <w:szCs w:val="22"/>
      <w:lang w:val="it-IT"/>
    </w:rPr>
  </w:style>
  <w:style w:type="character" w:customStyle="1" w:styleId="SuntoCarattere">
    <w:name w:val="Sunto Carattere"/>
    <w:basedOn w:val="Carpredefinitoparagrafo"/>
    <w:link w:val="Sunto"/>
    <w:rsid w:val="009A5EAD"/>
    <w:rPr>
      <w:rFonts w:ascii="Book Antiqua" w:eastAsia="Times New Roman" w:hAnsi="Book Antiqua" w:cs="Book Antiqua"/>
      <w:iCs/>
      <w:szCs w:val="22"/>
    </w:rPr>
  </w:style>
  <w:style w:type="paragraph" w:customStyle="1" w:styleId="Titoloparagrafo">
    <w:name w:val="Titolo paragrafo"/>
    <w:basedOn w:val="Normale"/>
    <w:link w:val="TitoloparagrafoCarattere"/>
    <w:autoRedefine/>
    <w:qFormat/>
    <w:rsid w:val="009A5EAD"/>
    <w:pPr>
      <w:spacing w:line="276" w:lineRule="auto"/>
    </w:pPr>
    <w:rPr>
      <w:rFonts w:ascii="Book Antiqua" w:eastAsia="Times New Roman" w:hAnsi="Book Antiqua"/>
      <w:bCs/>
      <w:sz w:val="24"/>
      <w:szCs w:val="24"/>
      <w:lang w:val="it-IT"/>
    </w:rPr>
  </w:style>
  <w:style w:type="character" w:customStyle="1" w:styleId="TitoloparagrafoCarattere">
    <w:name w:val="Titolo paragrafo Carattere"/>
    <w:basedOn w:val="Carpredefinitoparagrafo"/>
    <w:link w:val="Titoloparagrafo"/>
    <w:rsid w:val="009A5EAD"/>
    <w:rPr>
      <w:rFonts w:ascii="Book Antiqua" w:eastAsia="Times New Roman" w:hAnsi="Book Antiqua"/>
      <w:bCs/>
      <w:sz w:val="24"/>
      <w:szCs w:val="24"/>
    </w:rPr>
  </w:style>
  <w:style w:type="paragraph" w:customStyle="1" w:styleId="Parolechiave">
    <w:name w:val="Parole chiave"/>
    <w:basedOn w:val="Normale"/>
    <w:link w:val="ParolechiaveCarattere"/>
    <w:qFormat/>
    <w:rsid w:val="009A5EAD"/>
    <w:pPr>
      <w:jc w:val="both"/>
    </w:pPr>
    <w:rPr>
      <w:rFonts w:ascii="Book Antiqua" w:eastAsia="Times New Roman" w:hAnsi="Book Antiqua"/>
      <w:sz w:val="22"/>
      <w:szCs w:val="22"/>
      <w:lang w:val="it-IT"/>
    </w:rPr>
  </w:style>
  <w:style w:type="character" w:customStyle="1" w:styleId="ParolechiaveCarattere">
    <w:name w:val="Parole chiave Carattere"/>
    <w:basedOn w:val="Carpredefinitoparagrafo"/>
    <w:link w:val="Parolechiave"/>
    <w:rsid w:val="009A5EAD"/>
    <w:rPr>
      <w:rFonts w:ascii="Book Antiqua" w:eastAsia="Times New Roman" w:hAnsi="Book Antiqua"/>
      <w:sz w:val="22"/>
      <w:szCs w:val="22"/>
    </w:rPr>
  </w:style>
  <w:style w:type="paragraph" w:customStyle="1" w:styleId="Versi">
    <w:name w:val="Versi"/>
    <w:basedOn w:val="Normale"/>
    <w:next w:val="Corpotesto1"/>
    <w:qFormat/>
    <w:rsid w:val="009A5EAD"/>
    <w:rPr>
      <w:rFonts w:ascii="Book Antiqua" w:eastAsia="Times New Roman" w:hAnsi="Book Antiqua"/>
      <w:i/>
      <w:lang w:val="it-IT"/>
    </w:rPr>
  </w:style>
  <w:style w:type="paragraph" w:customStyle="1" w:styleId="BibliografiaAPA">
    <w:name w:val="Bibliografia APA"/>
    <w:basedOn w:val="Normale"/>
    <w:link w:val="BibliografiaAPACarattere"/>
    <w:qFormat/>
    <w:rsid w:val="009A5EAD"/>
    <w:pPr>
      <w:spacing w:after="120" w:line="276" w:lineRule="auto"/>
      <w:ind w:firstLine="425"/>
      <w:jc w:val="both"/>
    </w:pPr>
    <w:rPr>
      <w:rFonts w:eastAsia="SimSun" w:cstheme="minorBidi"/>
      <w:sz w:val="24"/>
      <w:szCs w:val="22"/>
      <w:lang w:val="it-IT"/>
    </w:rPr>
  </w:style>
  <w:style w:type="character" w:customStyle="1" w:styleId="BibliografiaAPACarattere">
    <w:name w:val="Bibliografia APA Carattere"/>
    <w:basedOn w:val="Carpredefinitoparagrafo"/>
    <w:link w:val="BibliografiaAPA"/>
    <w:rsid w:val="009A5EAD"/>
    <w:rPr>
      <w:rFonts w:ascii="Times New Roman" w:eastAsia="SimSun" w:hAnsi="Times New Roman" w:cstheme="minorBidi"/>
      <w:sz w:val="24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9A5EAD"/>
    <w:pPr>
      <w:jc w:val="both"/>
    </w:pPr>
    <w:rPr>
      <w:rFonts w:ascii="Book Antiqua" w:eastAsia="Times New Roman" w:hAnsi="Book Antiqu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EAD"/>
    <w:rPr>
      <w:rFonts w:ascii="Book Antiqua" w:eastAsia="Times New Roman" w:hAnsi="Book Antiqua"/>
      <w:sz w:val="18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9A5EAD"/>
    <w:rPr>
      <w:rFonts w:eastAsia="Times New Roman"/>
      <w:b/>
      <w:bCs/>
      <w:color w:val="0070C0"/>
    </w:rPr>
  </w:style>
  <w:style w:type="paragraph" w:styleId="Corpotesto">
    <w:name w:val="Body Text"/>
    <w:basedOn w:val="Normale"/>
    <w:link w:val="CorpotestoCarattere1"/>
    <w:uiPriority w:val="1"/>
    <w:qFormat/>
    <w:rsid w:val="009A5EAD"/>
    <w:pPr>
      <w:widowControl w:val="0"/>
      <w:ind w:left="1012"/>
    </w:pPr>
    <w:rPr>
      <w:rFonts w:eastAsia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9A5EAD"/>
    <w:rPr>
      <w:rFonts w:ascii="Times New Roman" w:eastAsia="Times New Roman" w:hAnsi="Times New Roman" w:cstheme="minorBidi"/>
      <w:lang w:val="en-US"/>
    </w:rPr>
  </w:style>
  <w:style w:type="paragraph" w:styleId="Sottotitolo">
    <w:name w:val="Subtitle"/>
    <w:basedOn w:val="Autore"/>
    <w:next w:val="Corpotesto1"/>
    <w:link w:val="SottotitoloCarattere"/>
    <w:uiPriority w:val="11"/>
    <w:qFormat/>
    <w:rsid w:val="009A5EAD"/>
    <w:pPr>
      <w:spacing w:after="60"/>
      <w:outlineLvl w:val="1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EAD"/>
    <w:rPr>
      <w:rFonts w:ascii="Book Antiqua" w:eastAsia="Times New Roman" w:hAnsi="Book Antiqua"/>
      <w:sz w:val="28"/>
      <w:szCs w:val="24"/>
    </w:rPr>
  </w:style>
  <w:style w:type="paragraph" w:styleId="Nessunaspaziatura">
    <w:name w:val="No Spacing"/>
    <w:uiPriority w:val="1"/>
    <w:qFormat/>
    <w:rsid w:val="009A5EA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9A5EAD"/>
    <w:pPr>
      <w:ind w:left="567" w:right="567" w:firstLine="425"/>
      <w:jc w:val="both"/>
    </w:pPr>
    <w:rPr>
      <w:rFonts w:ascii="Book Antiqua" w:eastAsia="Times New Roman" w:hAnsi="Book Antiqu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EAD"/>
    <w:rPr>
      <w:rFonts w:ascii="Book Antiqua" w:eastAsia="Times New Roman" w:hAnsi="Book Antiqua"/>
    </w:rPr>
  </w:style>
  <w:style w:type="character" w:styleId="Titolodellibro">
    <w:name w:val="Book Title"/>
    <w:aliases w:val="Titolo dell'articolo"/>
    <w:uiPriority w:val="33"/>
    <w:qFormat/>
    <w:rsid w:val="009A5EAD"/>
    <w:rPr>
      <w:rFonts w:ascii="Times New Roman" w:hAnsi="Times New Roman"/>
      <w:b/>
      <w:color w:val="0000FF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50CB"/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customStyle="1" w:styleId="mo">
    <w:name w:val="mo"/>
    <w:basedOn w:val="Carpredefinitoparagrafo"/>
    <w:rsid w:val="008750CB"/>
  </w:style>
  <w:style w:type="character" w:customStyle="1" w:styleId="mn">
    <w:name w:val="mn"/>
    <w:basedOn w:val="Carpredefinitoparagrafo"/>
    <w:rsid w:val="008750CB"/>
  </w:style>
  <w:style w:type="character" w:styleId="Collegamentoipertestuale">
    <w:name w:val="Hyperlink"/>
    <w:basedOn w:val="Carpredefinitoparagrafo"/>
    <w:uiPriority w:val="99"/>
    <w:semiHidden/>
    <w:unhideWhenUsed/>
    <w:rsid w:val="008750CB"/>
    <w:rPr>
      <w:color w:val="0000FF"/>
      <w:u w:val="single"/>
    </w:rPr>
  </w:style>
  <w:style w:type="character" w:customStyle="1" w:styleId="mi">
    <w:name w:val="mi"/>
    <w:basedOn w:val="Carpredefinitoparagrafo"/>
    <w:rsid w:val="008750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0C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rsid w:val="009B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logger.googleusercontent.com/img/b/R29vZ2xl/AVvXsEiKnR3XbIYrvyAiprDjwvv5LrBmc9Ro_w9eSoiKn_mGZ0O_afBQa_Huem7alaowgplNUP6UcpJm_4tZPGzHbOM_MLbqLcrW7n0QIgdo2XXsMHGe4lOtHB8lFYTCqrW7JG9PuqDjMZQisWc/s1600/Max_Dehn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ehn_invaria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Max_Dehn" TargetMode="External"/><Relationship Id="rId10" Type="http://schemas.openxmlformats.org/officeDocument/2006/relationships/hyperlink" Target="https://doi.org/10.5169%2Fseals-30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%2FBF014480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4</cp:revision>
  <dcterms:created xsi:type="dcterms:W3CDTF">2024-09-28T14:43:00Z</dcterms:created>
  <dcterms:modified xsi:type="dcterms:W3CDTF">2025-01-24T19:40:00Z</dcterms:modified>
</cp:coreProperties>
</file>